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1B" w:rsidRDefault="00F6259F">
      <w:r>
        <w:rPr>
          <w:noProof/>
        </w:rPr>
        <w:drawing>
          <wp:inline distT="0" distB="0" distL="0" distR="0" wp14:anchorId="534D83B8" wp14:editId="1C4FD64C">
            <wp:extent cx="7477125" cy="53244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7822E5" w:rsidRPr="007822E5" w:rsidRDefault="00542120">
      <w:r>
        <w:t xml:space="preserve">Source:  Marion County Behavioral Risk Factor Surveillance System (BRFSS), 2003- 2016.  </w:t>
      </w:r>
      <w:r w:rsidR="007822E5" w:rsidRPr="007822E5">
        <w:t>Note: Vertical dotted line indicates major changes made to the survey methods in 2011.</w:t>
      </w:r>
      <w:r w:rsidR="007822E5">
        <w:t xml:space="preserve">  DR3605 Prepared by Andrea Bochenek 7/17/2018</w:t>
      </w:r>
    </w:p>
    <w:sectPr w:rsidR="007822E5" w:rsidRPr="007822E5" w:rsidSect="006B7C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97"/>
    <w:rsid w:val="000F1D06"/>
    <w:rsid w:val="0018291B"/>
    <w:rsid w:val="00542120"/>
    <w:rsid w:val="006B7C97"/>
    <w:rsid w:val="007822E5"/>
    <w:rsid w:val="0096573A"/>
    <w:rsid w:val="00A549CD"/>
    <w:rsid w:val="00AA6E81"/>
    <w:rsid w:val="00E73357"/>
    <w:rsid w:val="00F6259F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[dr3605 obesity and diabetes FINAL.xlsx]Sheet4!PivotTable3</c:name>
    <c:fmtId val="4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Diabetes</a:t>
            </a:r>
            <a:r>
              <a:rPr lang="en-US" baseline="0"/>
              <a:t> and Obesity Prevalence Rates (2003-2016)</a:t>
            </a:r>
            <a:endParaRPr lang="en-US"/>
          </a:p>
        </c:rich>
      </c:tx>
      <c:layout/>
      <c:overlay val="0"/>
    </c:title>
    <c:autoTitleDeleted val="0"/>
    <c:pivotFmts>
      <c:pivotFmt>
        <c:idx val="0"/>
        <c:spPr>
          <a:ln>
            <a:solidFill>
              <a:schemeClr val="tx2"/>
            </a:solidFill>
          </a:ln>
        </c:spPr>
        <c:marker>
          <c:spPr>
            <a:solidFill>
              <a:schemeClr val="tx2"/>
            </a:solidFill>
          </c:spPr>
        </c:marker>
      </c:pivotFmt>
      <c:pivotFmt>
        <c:idx val="1"/>
        <c:spPr>
          <a:ln>
            <a:solidFill>
              <a:schemeClr val="tx2"/>
            </a:solidFill>
          </a:ln>
        </c:spPr>
        <c:marker>
          <c:spPr>
            <a:solidFill>
              <a:schemeClr val="tx2"/>
            </a:solidFill>
          </c:spPr>
        </c:marker>
      </c:pivotFmt>
      <c:pivotFmt>
        <c:idx val="2"/>
        <c:spPr>
          <a:ln>
            <a:solidFill>
              <a:srgbClr val="92D050"/>
            </a:solidFill>
          </a:ln>
        </c:spPr>
        <c:marker>
          <c:spPr>
            <a:solidFill>
              <a:srgbClr val="92D050"/>
            </a:solidFill>
            <a:ln>
              <a:solidFill>
                <a:srgbClr val="92D050"/>
              </a:solidFill>
            </a:ln>
          </c:spPr>
        </c:marker>
      </c:pivotFmt>
      <c:pivotFmt>
        <c:idx val="3"/>
        <c:spPr>
          <a:ln>
            <a:solidFill>
              <a:schemeClr val="tx2"/>
            </a:solidFill>
          </a:ln>
        </c:spPr>
        <c:marker>
          <c:spPr>
            <a:solidFill>
              <a:schemeClr val="tx2"/>
            </a:solidFill>
          </c:spPr>
        </c:marker>
      </c:pivotFmt>
      <c:pivotFmt>
        <c:idx val="4"/>
        <c:spPr>
          <a:ln>
            <a:solidFill>
              <a:srgbClr val="92D050"/>
            </a:solidFill>
          </a:ln>
        </c:spPr>
        <c:marker>
          <c:spPr>
            <a:solidFill>
              <a:srgbClr val="92D050"/>
            </a:solidFill>
            <a:ln>
              <a:solidFill>
                <a:srgbClr val="92D050"/>
              </a:solidFill>
            </a:ln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 Diabetes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pPr>
              <a:solidFill>
                <a:schemeClr val="tx2"/>
              </a:solidFill>
            </c:spPr>
          </c:marker>
          <c:cat>
            <c:strRef>
              <c:f>Sheet4!$A$2:$A$16</c:f>
              <c:strCach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strCache>
            </c:strRef>
          </c:cat>
          <c:val>
            <c:numRef>
              <c:f>Sheet4!$B$2:$B$16</c:f>
              <c:numCache>
                <c:formatCode>0.0</c:formatCode>
                <c:ptCount val="14"/>
                <c:pt idx="0">
                  <c:v>8.6435999999999993</c:v>
                </c:pt>
                <c:pt idx="1">
                  <c:v>7.8532000000000002</c:v>
                </c:pt>
                <c:pt idx="2">
                  <c:v>8.2714999999999996</c:v>
                </c:pt>
                <c:pt idx="3">
                  <c:v>8.5032999999999994</c:v>
                </c:pt>
                <c:pt idx="4">
                  <c:v>8.6062999999999992</c:v>
                </c:pt>
                <c:pt idx="5">
                  <c:v>10.0137</c:v>
                </c:pt>
                <c:pt idx="6">
                  <c:v>9.9794</c:v>
                </c:pt>
                <c:pt idx="7">
                  <c:v>11.2255</c:v>
                </c:pt>
                <c:pt idx="8">
                  <c:v>10.2423</c:v>
                </c:pt>
                <c:pt idx="9">
                  <c:v>10.5669</c:v>
                </c:pt>
                <c:pt idx="10">
                  <c:v>10.5669</c:v>
                </c:pt>
                <c:pt idx="11">
                  <c:v>9.8476999999999997</c:v>
                </c:pt>
                <c:pt idx="12">
                  <c:v>11.332599999999999</c:v>
                </c:pt>
                <c:pt idx="13">
                  <c:v>13.3856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 Obesity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pPr>
              <a:solidFill>
                <a:srgbClr val="92D050"/>
              </a:solidFill>
              <a:ln>
                <a:solidFill>
                  <a:srgbClr val="92D050"/>
                </a:solidFill>
              </a:ln>
            </c:spPr>
          </c:marker>
          <c:cat>
            <c:strRef>
              <c:f>Sheet4!$A$2:$A$16</c:f>
              <c:strCach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strCache>
            </c:strRef>
          </c:cat>
          <c:val>
            <c:numRef>
              <c:f>Sheet4!$C$2:$C$16</c:f>
              <c:numCache>
                <c:formatCode>0.0</c:formatCode>
                <c:ptCount val="14"/>
                <c:pt idx="0">
                  <c:v>24.718</c:v>
                </c:pt>
                <c:pt idx="1">
                  <c:v>24.254899999999999</c:v>
                </c:pt>
                <c:pt idx="2">
                  <c:v>27.8795</c:v>
                </c:pt>
                <c:pt idx="3">
                  <c:v>25.570599999999999</c:v>
                </c:pt>
                <c:pt idx="4">
                  <c:v>28.390499999999999</c:v>
                </c:pt>
                <c:pt idx="5">
                  <c:v>25.7014</c:v>
                </c:pt>
                <c:pt idx="6">
                  <c:v>30.012699999999999</c:v>
                </c:pt>
                <c:pt idx="7">
                  <c:v>30.2043</c:v>
                </c:pt>
                <c:pt idx="8">
                  <c:v>33.8354</c:v>
                </c:pt>
                <c:pt idx="9">
                  <c:v>34.251300000000001</c:v>
                </c:pt>
                <c:pt idx="10">
                  <c:v>30.87</c:v>
                </c:pt>
                <c:pt idx="11">
                  <c:v>32.377000000000002</c:v>
                </c:pt>
                <c:pt idx="12">
                  <c:v>28.459900000000001</c:v>
                </c:pt>
                <c:pt idx="13">
                  <c:v>27.3903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225664"/>
        <c:axId val="106227584"/>
      </c:lineChart>
      <c:catAx>
        <c:axId val="106225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6227584"/>
        <c:crosses val="autoZero"/>
        <c:auto val="1"/>
        <c:lblAlgn val="ctr"/>
        <c:lblOffset val="100"/>
        <c:noMultiLvlLbl val="0"/>
      </c:catAx>
      <c:valAx>
        <c:axId val="1062275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</a:t>
                </a:r>
              </a:p>
            </c:rich>
          </c:tx>
          <c:layout/>
          <c:overlay val="0"/>
        </c:title>
        <c:numFmt formatCode="0.0" sourceLinked="1"/>
        <c:majorTickMark val="none"/>
        <c:minorTickMark val="none"/>
        <c:tickLblPos val="nextTo"/>
        <c:crossAx val="1062256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0.64713</cdr:x>
      <cdr:y>0.09839</cdr:y>
    </cdr:from>
    <cdr:to>
      <cdr:x>0.64713</cdr:x>
      <cdr:y>0.86583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4838700" y="523875"/>
          <a:ext cx="1" cy="40862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Bochenek</dc:creator>
  <cp:lastModifiedBy>Andrea Bochenek</cp:lastModifiedBy>
  <cp:revision>7</cp:revision>
  <dcterms:created xsi:type="dcterms:W3CDTF">2018-07-17T18:00:00Z</dcterms:created>
  <dcterms:modified xsi:type="dcterms:W3CDTF">2018-08-10T19:29:00Z</dcterms:modified>
</cp:coreProperties>
</file>